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5F8B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72AC1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4BD9A46D" wp14:editId="7785D664">
            <wp:extent cx="570865" cy="68770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D52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НАЦИОНАЛЬНЫЙ БАНК МОЛДОВЫ</w:t>
      </w:r>
    </w:p>
    <w:p w14:paraId="47E01B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B86D0D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ПОСТАНОВЛЕНИЕ</w:t>
      </w:r>
    </w:p>
    <w:p w14:paraId="7E05E2C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изменении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отмене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нормативных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актов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</w:p>
    <w:p w14:paraId="42DABC7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(о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требовании</w:t>
      </w:r>
      <w:proofErr w:type="spellEnd"/>
    </w:p>
    <w:p w14:paraId="5C7E2EE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)</w:t>
      </w:r>
    </w:p>
    <w:p w14:paraId="6FD91FF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77AB2ED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№ 329  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 19.12.2024</w:t>
      </w:r>
    </w:p>
    <w:p w14:paraId="7D3133F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(в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01.07.2025,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 xml:space="preserve"> пкт.3 - 01.01.2026)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3A466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F08A2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Мониторул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Офичиал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ал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 xml:space="preserve"> Р. </w:t>
      </w: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 xml:space="preserve"> № 544-547 </w:t>
      </w: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ст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. 1018 </w:t>
      </w:r>
      <w:proofErr w:type="spellStart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lang w:eastAsia="ro-MD"/>
          <w14:ligatures w14:val="none"/>
        </w:rPr>
        <w:t> 26.12.2024</w:t>
      </w:r>
    </w:p>
    <w:p w14:paraId="0AF1417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469C57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48C8CEB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а)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548/1995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Monitorul Oficial al Republicii Moldova 2015 г. № 297-300, ст.544),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ст.76, 84 и 91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(Monitorul Oficial al Republicii Moldova, 2017 г., № 434-439, ст.727),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AAEA7E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Ст.1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(c); ст.411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(а), (b), (d), (e)-(h), (j); 2 - 5; 8 - 17); ст.412,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ст.413,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(3) и (4); ст.414; ст.415,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(2) и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(b); ст.428а; ст.428b; ст.428с; ст.428d; ст.428е; ст.428F,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428H,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ст.428i; ст.428j; ст.428k; ст.428l; ст.428m; ст.428n; ст.428o; ст.428р; ст.428q; ст.428р; ст.428s; ст.428u; ст.428v; ст.428x; ст.428y; ст.428ad; ст.428ae; ст.428af; ст.428ag; ст.428аh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648/2012,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176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32013R0575,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2019/876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96B506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Ст.2,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и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– (c) и (e); ст.3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6); ст.4,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(1)-(5); ст.5; ст.6; ст.7; ст.8; ст.9; ст.10,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(a)-(d)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(2); ст.11, ст.12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(c); ст.15,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(a), (b), (d) и (h);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(4)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(а)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(5); ст.17,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(c),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(2)-(4); ст.18; ст.19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ст.20; ст.21; ст.22; ст.23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ст.24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(1)-(3); ст.25; ст.26; ст.27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(2), (4)-(6); ст.28; ст.29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- (7), (12); ст.31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(1)-(5), (8); ст.31а; ст.32; ст.33; ст.34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ст.39;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2015/61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октября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2014 г.,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дополняющему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32015R0061,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2018/1620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4F9892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2017/208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октября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негативного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33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февраля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CELEX: 32017R0208,</w:t>
      </w:r>
    </w:p>
    <w:p w14:paraId="140FFE2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4496F01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ПОСТАНОВЛЯЕТ:</w:t>
      </w:r>
    </w:p>
    <w:p w14:paraId="6D85AA3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BDF4C6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44/2020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(Monitorul Oficial al Republicii Moldova, 2020, № 87-93, ст.317),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1543/2020,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083F30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АС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протокол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8.08.1997 г. (Monitorul Oficial al Republicii Moldova, 1997 г., N 64-65, ст.105),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10E151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158/2020 (Monitorul Oficial al Republicii Moldova, 2020 г., № 188-192, ст.667),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1581/2020,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44B5E1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25:</w:t>
      </w:r>
    </w:p>
    <w:p w14:paraId="0A652B5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 d)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63B74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"d)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11E7B37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0DB90A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таблице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2491CA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49DCFF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предшествующий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предшествующий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3E360B6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4.1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4.11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A60DD9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вводятся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3883"/>
        <w:gridCol w:w="599"/>
        <w:gridCol w:w="599"/>
        <w:gridCol w:w="599"/>
        <w:gridCol w:w="599"/>
        <w:gridCol w:w="599"/>
      </w:tblGrid>
      <w:tr w:rsidR="00CE7F90" w:rsidRPr="00CE7F90" w14:paraId="305BC060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21BBE7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3262C8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049902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6E891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D1284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0C146A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804C4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CE7F90" w:rsidRPr="00CE7F90" w14:paraId="0ED6FC7A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EFEF60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BF212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14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87305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115F28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7C614A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D32F7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891AD4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CE7F90" w:rsidRPr="00CE7F90" w14:paraId="37F3FD25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A09668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4.1.1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6F58F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ликвидные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активы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с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высоким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уровнем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качества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(HQLA) (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среднее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770B9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AC5A20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A4D33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0739E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A0694A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38F9F942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3564D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4.1.2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5283FF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E6DB4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388B4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0426C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010BC3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2D3293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503EB6F0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C3A3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4.1.3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B2E0C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Приток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–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общая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взвешенная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величина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66B325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F385C1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F2BDC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225C3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91DF2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289F6023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FCEFD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4.1.4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8A4FC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чистый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отток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денежных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средств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скорректированное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значение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3F12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E7D0F8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88579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54275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4351A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6EDA5387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7DF9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4.1.5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9FC53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покрытия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(LCR)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1CCC7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9B2DA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F36C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450A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5BAC1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5D11BEF5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C364F1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0457F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14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AFF746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E1006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9769E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86D55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718DD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55BF4485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D7B3B2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4.2.1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155C5A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Имеющееся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4B460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88BE2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EB421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53D9F4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D3ECE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61A62B74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47A6F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4.2.2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9BF2E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Требуемое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80CCC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млн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CFB3B7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2E69DE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0433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3E6499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6A6BF62C" w14:textId="77777777" w:rsidTr="00CE7F9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DF43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4.2.3</w:t>
            </w:r>
            <w:r w:rsidRPr="00CE7F90">
              <w:rPr>
                <w:rFonts w:ascii="Times New Roman" w:eastAsia="Times New Roman" w:hAnsi="Times New Roman" w:cs="Times New Roman"/>
                <w:kern w:val="0"/>
                <w:vertAlign w:val="superscript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F5545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чистого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стабильного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фондирования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(NSFR)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73019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D2ED5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2A960B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CAF6CA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A9892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4ACFED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5DF8FB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":</w:t>
      </w:r>
    </w:p>
    <w:p w14:paraId="0C998AE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14, 15 и 16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утратившими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973239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</w:t>
      </w:r>
      <w:r w:rsidRPr="00CE7F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редакции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12A8B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329/2024";</w:t>
      </w:r>
    </w:p>
    <w:p w14:paraId="682A972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</w:t>
      </w:r>
      <w:r w:rsidRPr="00CE7F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4F6013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329/2024.</w:t>
      </w:r>
    </w:p>
    <w:p w14:paraId="2C99AED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322/2018, (Monitorul Oficial al Republicii Moldova, 2019, № 1-5, ст.56),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Министерстве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юстиции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1400/2018,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44/2020"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329/2024"</w:t>
      </w:r>
    </w:p>
    <w:p w14:paraId="1ED449D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 (Monitorul Oficial al Republicii Moldova, 2020, № 118-123, ст.463)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текстом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"и (3)".</w:t>
      </w:r>
    </w:p>
    <w:p w14:paraId="5122772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вводится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CE7F90" w:rsidRPr="00CE7F90" w14:paraId="77219D00" w14:textId="77777777" w:rsidTr="00CE7F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324110A5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2853C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</w:tc>
      </w:tr>
      <w:tr w:rsidR="00CE7F90" w:rsidRPr="00CE7F90" w14:paraId="290213E3" w14:textId="77777777" w:rsidTr="00CE7F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5F91084D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6330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Анка-Дана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ДРАГУ</w:t>
            </w:r>
          </w:p>
        </w:tc>
      </w:tr>
      <w:tr w:rsidR="00CE7F90" w:rsidRPr="00CE7F90" w14:paraId="54B2F5ED" w14:textId="77777777" w:rsidTr="00CE7F9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FC1B113" w14:textId="77777777" w:rsidR="00CE7F90" w:rsidRPr="00CE7F90" w:rsidRDefault="00CE7F90" w:rsidP="00CE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№ 329.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Кишинэу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19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декабря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2024 г.</w:t>
            </w:r>
          </w:p>
        </w:tc>
      </w:tr>
    </w:tbl>
    <w:p w14:paraId="70915EA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3E86F61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</w:t>
      </w:r>
      <w:proofErr w:type="spellEnd"/>
    </w:p>
    <w:p w14:paraId="57059FE6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</w:p>
    <w:p w14:paraId="0DD41539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</w:p>
    <w:p w14:paraId="1C3ED6F1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№ 329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декабря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2024 г.</w:t>
      </w:r>
    </w:p>
    <w:p w14:paraId="31C8ADF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AC6FBC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РЕГЛАМЕНТ О ЛИКВИДНОСТИ</w:t>
      </w:r>
    </w:p>
    <w:p w14:paraId="3EB6D93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7B7E2A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47E178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Ст.1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(c); Ст.411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(a), (b), (d), (e)-(h), (j); 2 - 5; 8 - 17); Ст.412,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Ст.413,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(3) и (4); Ст.414; Ст.415,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(2) и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(b); Ст.428а; Ст.428b; Ст.428с; Ст.428d; Ст.428е; Ст.428f,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Ст.428h,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Ст.428i; Ст.428j; Ст.428к; Ст.428l; Ст.428м; Ст.428n; Ст.428o; Ст.428р; Ст.428q; Ст.428r; Ст.428s; Ст.428u; Ст.428v; Ст.428x; Ст.428y; Ст.428ad; Ст.428ae; Ст.428af; Ст.428ag; Ст.428аh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пруденциальных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фирмам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вносящего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648/2012,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176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32013R0575,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последними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поправками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2019/876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45A46A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Ст.2,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и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– (c) и (e); Ст.3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6); Ст.4,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(1)-(5); Ст.5; Ст.6; Ст.7; Ст.8; Ст.9; Ст.10,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(a)-(d)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(2); Ст.11, Ст.12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 и (c); Ст.15,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(b),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(a), (b), (d) и (h);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(3),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(4)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(а)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(5); Ст.17,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(c),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(2)-(4); Ст.18; Ст.19.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Ст.20; Ст.21; Ст.22; Ст.23,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и (2); Ст.24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(1)-(3); Ст.25; Ст.26; Ст.27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(1), (2), (4)-(6); Ст.28; Ст.29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 - (7), (12); Ст.31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(1)-(5), (8); Ст.31а; Ст.32; ст.33; Ст.34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(1); Ст.39;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2015/61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октября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2014 г.,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дополняющему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11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января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CELEX: 32015R0061,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2018/1620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июля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654501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Делегированный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2017/208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октября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(ЕС) № 575/2013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негативного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опубликованный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журнале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 33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февраля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CELEX: 32017R0208,</w:t>
      </w:r>
    </w:p>
    <w:p w14:paraId="1B92B9F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F4E03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</w:t>
      </w:r>
    </w:p>
    <w:p w14:paraId="5B4A939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 ПОЛОЖЕНИЯ</w:t>
      </w:r>
    </w:p>
    <w:p w14:paraId="570DF4F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D7C203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2DEBDDE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ПРИМЕНЕНИЕ ТРЕБОВАНИЙ К ЛИКВИДНОСТИ</w:t>
      </w:r>
    </w:p>
    <w:p w14:paraId="4CADBD0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03A10B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буфера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стресса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);</w:t>
      </w:r>
    </w:p>
    <w:p w14:paraId="0E9FD50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4BD6A1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надлежащим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облегчения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(ILAAP)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VII.</w:t>
      </w:r>
    </w:p>
    <w:p w14:paraId="119C567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5AEDA9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Комитета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ПИК НБМ) № 101/2020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004C3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1C3336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58980F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имущество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и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C9FF81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4.1.2,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стрессовой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сгенерированы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FE241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3BB38A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дочернюю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07874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поступлений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126 и 127,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80E77B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101/2020,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E142B6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головным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офисом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6D212E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головным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офисом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42B941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дочерней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головной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DBFE7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0BE984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3AE42B8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ОПРЕДЕЛЕНИЯ</w:t>
      </w:r>
    </w:p>
    <w:p w14:paraId="5E6727D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Закон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№ 202/2017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НБМ),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изданными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6716E9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8ABF21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чрезвычайно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</w:t>
      </w:r>
    </w:p>
    <w:p w14:paraId="377248E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7.2.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</w:t>
      </w:r>
    </w:p>
    <w:p w14:paraId="3663676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какие-либо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помешать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переуступить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распорядиться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твердой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купли-продажи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E83086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размещает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третьих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корпоративные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небанковских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вознаграждение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3E6286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FA951E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DB8249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C60C9F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небанковская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30CE0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ОКИ);</w:t>
      </w:r>
    </w:p>
    <w:p w14:paraId="035D302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0CE57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ECBE0E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E7F82C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холдинговая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смешанная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холдинговая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CC951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7.5.9.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добровольный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пенсионный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198/2020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факультативных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пенсионных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256FE0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114/2018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114/2018),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5D26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маржинальные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94CDE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внезапное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серьезное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платежеспособности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5AC82F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7.9.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МСП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7.14),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МСП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стандартизованному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111/2018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111/2018),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МСП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62837D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безотзывным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отзывным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FF2CFE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факторинг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переуступает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уступленной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11DBAF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аванс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уступленной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краткосрочной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автоматического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накопления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C9B43F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взыскание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защита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реестр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собирает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дебиторскую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B8C37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факторинг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D29988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wholesale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7.9;</w:t>
      </w:r>
    </w:p>
    <w:p w14:paraId="4FCDA84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1;</w:t>
      </w:r>
    </w:p>
    <w:p w14:paraId="1FBE2E0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"МСП"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микропредприятие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малое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179/2016 "О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малых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";</w:t>
      </w:r>
    </w:p>
    <w:p w14:paraId="5DF766E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73483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буфер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и 2-го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</w:t>
      </w:r>
    </w:p>
    <w:p w14:paraId="34A15F6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Система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эквивалентного</w:t>
      </w:r>
      <w:proofErr w:type="spellEnd"/>
      <w:r w:rsidRPr="00CE7F90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ЕС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защиты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Директива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2014/49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ссылкой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DD4F42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DA7C69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87BBA0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массового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спроса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9C401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Союза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помещениях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</w:t>
      </w:r>
    </w:p>
    <w:p w14:paraId="3E545A6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("ПИК")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траст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промышленной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профессиональной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единственной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владельцев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передаче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семьи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предотвращение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смерти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члена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семьи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имуществом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51CC7E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7.19.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collateral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swap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C2EDD3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CEA369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III.</w:t>
      </w:r>
    </w:p>
    <w:p w14:paraId="303D18F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ТРЕБОВАНИЕ К ПОКРЫТИЮ ЛИКВИДНОСТИ</w:t>
      </w:r>
    </w:p>
    <w:p w14:paraId="32F4B5D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суммарная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буферов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справляться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диспропорциями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0F0023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дважды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мероприятий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производят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наибольшие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29107E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0E8737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IV.</w:t>
      </w:r>
    </w:p>
    <w:p w14:paraId="00A3956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ПОТРЕБНОСТЬ В СТАБИЛЬНОМ ФИНАНСИРОВАНИИ</w:t>
      </w:r>
    </w:p>
    <w:p w14:paraId="1EA812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адекватно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устойчивых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0D0D5B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VI.</w:t>
      </w:r>
    </w:p>
    <w:p w14:paraId="56A31F1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AEB81A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V.</w:t>
      </w:r>
    </w:p>
    <w:p w14:paraId="47D9440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СООТВЕТСТВИЕ ТРЕБОВАНИЯМ ЛИКВИДНОСТИ</w:t>
      </w:r>
    </w:p>
    <w:p w14:paraId="7514678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незамедлительно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неоправданной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задержки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своевременному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AD4D12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сообщать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приведенными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 и 13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COREP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117/2018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ежедневно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конца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69A67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масштабы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239AB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быстрого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9F2370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C356F9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VI.</w:t>
      </w:r>
    </w:p>
    <w:p w14:paraId="3905E2B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ОБЯЗАТЕЛЬСТВО ПО ПРЕДСТАВЛЕНИЮ</w:t>
      </w:r>
    </w:p>
    <w:p w14:paraId="31D78CE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ОТЧЕТНОСТИ И ФОРМА ОТЧЕТНОСТИ</w:t>
      </w:r>
    </w:p>
    <w:p w14:paraId="35454E8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12 и 13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вопросам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номинала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EE1D43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квартал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III.</w:t>
      </w:r>
    </w:p>
    <w:p w14:paraId="789695D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вопросах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III,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3FF80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подгруппы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номинала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BE5DA6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подгруппы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вестись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BF86BE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4501F2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VII.</w:t>
      </w:r>
    </w:p>
    <w:p w14:paraId="10C8423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ДОПОЛНИТЕЛЬНЫЕ ПОКАЗАТЕЛИ МОНИТОРИНГА ЛИКВИДНОСТИ</w:t>
      </w:r>
    </w:p>
    <w:p w14:paraId="6D9FDA3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целостной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картины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сложности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индикатора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мониторинга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88270D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диапазонам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</w:t>
      </w:r>
      <w:r w:rsidRPr="00CE7F9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инструкцией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117/2018.</w:t>
      </w:r>
    </w:p>
    <w:p w14:paraId="2F2F459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38C894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II</w:t>
      </w:r>
    </w:p>
    <w:p w14:paraId="017ADB6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ПОКАЗАТЕЛЬ ПОКРЫТИЯ ЛИКВИДНОСТИ</w:t>
      </w:r>
    </w:p>
    <w:p w14:paraId="613F04B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9A57AB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6C626CD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ОСОБЫЕ ПОЛОЖЕНИЯ, СВЯЗАННЫЕ С КОЭФФИЦИЕНТОМ</w:t>
      </w:r>
    </w:p>
    <w:p w14:paraId="16F564B2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 ЛИКВИДНОСТИ</w:t>
      </w:r>
    </w:p>
    <w:p w14:paraId="5F24C15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01983F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0DE95DE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</w:p>
    <w:p w14:paraId="4CC403F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соотношению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нетто-оттоками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6D9ED0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3904"/>
      </w:tblGrid>
      <w:tr w:rsidR="00CE7F90" w:rsidRPr="00CE7F90" w14:paraId="6C50F2D3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729DE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резерв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ликвидности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DFAF2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5E5F6AA1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06B7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–––––––––––––––––––––––––––––––––––––––––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83E00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=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Показатель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покрытия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(%)</w:t>
            </w:r>
          </w:p>
        </w:tc>
      </w:tr>
      <w:tr w:rsidR="00CE7F90" w:rsidRPr="00CE7F90" w14:paraId="0C5299E4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A7A3C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Нетто-оттоки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ликвидности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в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течение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 xml:space="preserve"> 30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o-MD"/>
                <w14:ligatures w14:val="none"/>
              </w:rPr>
              <w:t>дней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FF7D0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7E6839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1520CF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100%.</w:t>
      </w:r>
    </w:p>
    <w:p w14:paraId="03C76D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падению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14BC682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снизился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обоснованно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V.</w:t>
      </w:r>
    </w:p>
    <w:p w14:paraId="1AF3627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614B2E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3208C6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2B6491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61FE29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04544E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1C72122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Кризисные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сценарии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5F2F957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сталкивается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:</w:t>
      </w:r>
    </w:p>
    <w:p w14:paraId="3F860FF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52005E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источники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безоговорочно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автоматически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кредитоспособности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);</w:t>
      </w:r>
    </w:p>
    <w:p w14:paraId="088F09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краткосрочного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27598E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рейтинга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ступеней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478092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рост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волатильность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;</w:t>
      </w:r>
    </w:p>
    <w:p w14:paraId="2C03BCD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незапланированное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6713DC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недоговорных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15AFC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7A8D814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21A5EEF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РЕЗЕРВ ЛИКВИДНОСТИ</w:t>
      </w:r>
    </w:p>
    <w:p w14:paraId="75CE4A8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0E2F75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693F4C4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резерве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3C5E498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836FAE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4043973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Состав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7C0C7D5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630FE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3;</w:t>
      </w:r>
    </w:p>
    <w:p w14:paraId="20A9A9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4;</w:t>
      </w:r>
    </w:p>
    <w:p w14:paraId="27D28B8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классификации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533EBB5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8A5CC8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7BA41B4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Состав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</w:p>
    <w:p w14:paraId="61B8450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53CA7F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04455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E5AED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п.28,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воздействия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хотя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истекает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4.</w:t>
      </w:r>
    </w:p>
    <w:p w14:paraId="1772495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73C45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29 и 30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2408A4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Европейский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ЕЦБ)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(ECAI),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3106DBD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F2C39D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прежде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проконсультировался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EB3E78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6C66B7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2516191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Общие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</w:p>
    <w:p w14:paraId="5BCC4A4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74BAE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имуществом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32.1.1,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задолженностямив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D663A1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незамедлительного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роста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классификацией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неприемлемых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5CF1E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отчуждение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E0831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112E6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D22673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44.1 и 44.2;</w:t>
      </w:r>
    </w:p>
    <w:p w14:paraId="0BDF70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5F4095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E17989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перестраховщиком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A468D7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холдинговым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AEAEB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смешанным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холдинговым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B71158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32.3.7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C5358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широко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489113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твердой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фирмы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общепринятых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допущенный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площадке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биржей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каком-либо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площадка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твердых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площадка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9662CD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исторические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свидетельства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масштаба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глубины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свидетельствуют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незначительные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покупной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стоимостью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FD3275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32.5.2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инфраструктуры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29942B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32.4 и 32.5,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CA262D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банкнотам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42.1;</w:t>
      </w:r>
    </w:p>
    <w:p w14:paraId="7CB5C61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)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42.4;</w:t>
      </w:r>
    </w:p>
    <w:p w14:paraId="647C416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32.6.3.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 и 42.4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44.2;</w:t>
      </w:r>
    </w:p>
    <w:p w14:paraId="0DE70F4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32.6.4.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42.3.1;</w:t>
      </w:r>
    </w:p>
    <w:p w14:paraId="7441C2F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9E2B74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299E2EB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</w:p>
    <w:p w14:paraId="3473932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политику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надлежащим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диверсифицированными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диверсификации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диверсификации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географическое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расположение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0E1032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п.m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(3), ст.139,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наложить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абзаце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341D92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034E1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банкноты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42.1;</w:t>
      </w:r>
    </w:p>
    <w:p w14:paraId="37B6CD6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 и 42.4;</w:t>
      </w:r>
    </w:p>
    <w:p w14:paraId="7AF3DF9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 и 47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D543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являющимися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42.3 и 42.4,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87EEC7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твердой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общепринятых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практических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препятствий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8435AD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улучшения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B00C5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свободный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неконвертируемой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7A08A2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целесообразным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4DFEBC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размещение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непосредственным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намерением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источника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D66132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систем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механизмов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конфликта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бизнес-стратегиями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устранит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хеджирование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открытую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сверх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FFAA14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35.1 и 35.2,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аргументировал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0A0B4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периодически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репрезентативную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выборку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твердую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простое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общепринятом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разрабатывают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стратегии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отчуждения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выборки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55F0DD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тестировать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AA1C3C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своевременной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AE13DC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отправки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негативного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сигнала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E0BDED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36,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распространяется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0871FA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препятствует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79BA43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механизмы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34 и 35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легкодоступными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функции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8F8198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41.</w:t>
      </w:r>
    </w:p>
    <w:p w14:paraId="70F7ABA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соответствовало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Несмотря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вправе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абзацем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8800EA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3C04FA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генерирования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3BB973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30-дневному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5EA5475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излишка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30-дневному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05AEA21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внезапных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неблагоприятных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колебаний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некоррелирующие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78CD26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специфическим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проведенных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( 6) и (7)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202/2017.</w:t>
      </w:r>
    </w:p>
    <w:p w14:paraId="10716E6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A6025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7DB5C7E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Оценка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</w:p>
    <w:p w14:paraId="41C20CF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4C78D7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38.2,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302165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21EF75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904B81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активы</w:t>
      </w:r>
      <w:proofErr w:type="spellEnd"/>
    </w:p>
    <w:p w14:paraId="551786F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A0F96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748C0E0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</w:p>
    <w:p w14:paraId="3C02EBD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71DE0E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банкноты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04AFE2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804E3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E865A9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овернайт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НБМ;</w:t>
      </w:r>
    </w:p>
    <w:p w14:paraId="034EEF1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42.2.1.2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ежедневный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излишек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635EAF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возвращаются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Несмотря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истекает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III;</w:t>
      </w:r>
    </w:p>
    <w:p w14:paraId="5D82E6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</w:t>
      </w:r>
    </w:p>
    <w:p w14:paraId="01E059F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ЕЦБ;</w:t>
      </w:r>
    </w:p>
    <w:p w14:paraId="16E721A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(ECAI),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3C03F3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42.2.2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42.2.3,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отозвать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отзыва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EA9ACB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42.2.4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E53BE4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DB75C8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42.2.4.2.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E6533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B63962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683D40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проведенную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(ECAI),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0A68AD3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6CC9C6B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3D902A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ECAI,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0747353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распоряжении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42.4.1,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уполномочен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изымать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1D0ED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42.4.2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73D9AC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42.4.2.1.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1673DF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42.4.2.2.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компетентным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ответственным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0C255F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42.4.1 и 42.4.2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A681DE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42.4.1 и 42.4.2,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бизнесу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750CDF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 и 47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1FB21E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49.1 и 49.2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оставшихся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A5151B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CB8EAC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3D1342C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2А</w:t>
      </w:r>
    </w:p>
    <w:p w14:paraId="26F4F9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F0EA2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присваивается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п.34, 35, 37 и п.38, 40, и 41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F733FB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присваивается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п.30,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35F96A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выпускаемые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5249D8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ECAI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равнозначным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краткосрочной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BD0C3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250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478AFD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A27A3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15%.</w:t>
      </w:r>
    </w:p>
    <w:p w14:paraId="1DB8F60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BC2C2F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59BEF49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2B</w:t>
      </w:r>
    </w:p>
    <w:p w14:paraId="0DBB3EA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35F135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выпускаемые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175AA7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ECAI,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ассоциировал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равнозначным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краткосрочной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A18E04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эмиссии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250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17620B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74F793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EEB393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0FE7F7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постоянно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котирующихся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регулируемом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0E6DEB6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ED889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и</w:t>
      </w:r>
    </w:p>
    <w:p w14:paraId="189DFA7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доказанную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источника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роста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40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9DCF5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получил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назначенного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ECAI,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111/2018.</w:t>
      </w:r>
    </w:p>
    <w:p w14:paraId="642813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09309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46.1;</w:t>
      </w:r>
    </w:p>
    <w:p w14:paraId="53E06FB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46.2.</w:t>
      </w:r>
    </w:p>
    <w:p w14:paraId="642B391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9391CB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4F10572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коллективного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инвестирования</w:t>
      </w:r>
      <w:proofErr w:type="spellEnd"/>
    </w:p>
    <w:p w14:paraId="40EC3A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48.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евро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официальному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8D175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CC5527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монет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банкнот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42.2;</w:t>
      </w:r>
    </w:p>
    <w:p w14:paraId="18F8EA8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49.1;</w:t>
      </w:r>
    </w:p>
    <w:p w14:paraId="204B2F3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2А;</w:t>
      </w:r>
    </w:p>
    <w:p w14:paraId="7F5E29F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46.2.</w:t>
      </w:r>
    </w:p>
    <w:p w14:paraId="5A7CC7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FF644B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известно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проанализировать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49;</w:t>
      </w:r>
    </w:p>
    <w:p w14:paraId="25B6EA5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известно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мандатом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возрастания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п.49;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49.4,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достигнут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49A92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разрабатывают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методологии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методологии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разработки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методологий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единиц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расчёта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5EB46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управляющей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аудита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DF447F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п.40,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касающимся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5.</w:t>
      </w:r>
    </w:p>
    <w:p w14:paraId="2F78D8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A0AC25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19CF5F9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Невыполнение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</w:p>
    <w:p w14:paraId="4392528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53.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F760EB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перестают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удовлетворять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квалификационным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ОКИ.</w:t>
      </w:r>
    </w:p>
    <w:p w14:paraId="4F1F695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319B0F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0BA68C3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Альтернативные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подходы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0F5E9C7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количестве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несколько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BA624D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согласованности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FE03AF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дефицит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842D24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безотзывным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689984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взимается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выплачивается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7A3B54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комиссионных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прибыль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6D7A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дефицита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продолжает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8F4B19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пропорционально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рационального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участников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E4EC6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F2B911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 III</w:t>
      </w:r>
    </w:p>
    <w:p w14:paraId="356AC59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ОТТОКИ И ПРИТОКИ ЛИКВИДНОСТИ</w:t>
      </w:r>
    </w:p>
    <w:p w14:paraId="5C2B640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7A984D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0D5AD2B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7052E52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372D591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61BEA3A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Определение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699882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57.1,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57.2,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нуля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AD2492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</w:t>
      </w:r>
    </w:p>
    <w:p w14:paraId="104C436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8C31DD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п.125 и 126;</w:t>
      </w:r>
    </w:p>
    <w:p w14:paraId="505C7CE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наименьшее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нуля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п.127, и 90%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57.2.1,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п.125 и 126;</w:t>
      </w:r>
    </w:p>
    <w:p w14:paraId="07305B7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наименьшее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нуля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п.125, 126 и 127, и 75%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57.2.1,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п.125 и 126,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0,9,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90%.</w:t>
      </w:r>
    </w:p>
    <w:p w14:paraId="653100B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идиосинкразического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п.26.</w:t>
      </w:r>
    </w:p>
    <w:p w14:paraId="23F5B10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2.</w:t>
      </w:r>
    </w:p>
    <w:p w14:paraId="2394D14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2E519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EFBCBF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Взаимные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расчёты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</w:p>
    <w:p w14:paraId="2CCBB31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30-дневный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двусторонних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102/2020.</w:t>
      </w:r>
    </w:p>
    <w:p w14:paraId="1DA271B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одновременный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двусторонним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BF062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нетто-базой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нетто-база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нетто-базой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FF422A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63E16E1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оперативное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A49BFB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A4C113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333D46F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50D95A3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D669E9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24DEB995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Определение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0F8261D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непогашенных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исчерпаны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7F077B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п.63,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предусматривают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F2D253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текущая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выплачиваемая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и 3;</w:t>
      </w:r>
    </w:p>
    <w:p w14:paraId="01FA376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текущие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непогашенные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оплате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вызваны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повлечь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погасит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5, 6 и 11;</w:t>
      </w:r>
    </w:p>
    <w:p w14:paraId="772C44B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9;</w:t>
      </w:r>
    </w:p>
    <w:p w14:paraId="7854A8D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10;</w:t>
      </w:r>
    </w:p>
    <w:p w14:paraId="62DF711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8.</w:t>
      </w:r>
    </w:p>
    <w:p w14:paraId="31035A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4.</w:t>
      </w:r>
    </w:p>
    <w:p w14:paraId="68ADE8F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2D017E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3431417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розничными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депозитами</w:t>
      </w:r>
      <w:proofErr w:type="spellEnd"/>
    </w:p>
    <w:p w14:paraId="60A988E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повышенной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п.70, 71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160/2023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ЕС,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2F637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маловероятным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1AB070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текущем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открытом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DCE2C9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66.1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991C70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88CD1C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жилищным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долгосрочных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D5873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4BE05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66.2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текущем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заработные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доходы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зачисляются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дебетуются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AE9FFD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E0972C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4B8671F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другими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розничными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</w:p>
    <w:p w14:paraId="7FCE4FC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70.</w:t>
      </w:r>
    </w:p>
    <w:p w14:paraId="28D6FFE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п.71,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B23F1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сальдо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миллиона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CF09D8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эксклюзивным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Интернет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5D8758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C22617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среднюю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аналогичным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E01D1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динамики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6CAEE4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показателя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плавающая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222EFE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п.74;</w:t>
      </w:r>
    </w:p>
    <w:p w14:paraId="115B5FC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резидентом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молдавские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резидентом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975C80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687C5F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70.1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70.2-70.5,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10%;</w:t>
      </w:r>
    </w:p>
    <w:p w14:paraId="11C2F76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70.1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п.70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п.70,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15%.</w:t>
      </w:r>
    </w:p>
    <w:p w14:paraId="7F997C8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п.m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(3) ст.139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E4C73D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71.2,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п.70,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окончена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0586C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оправдано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трудностей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D10618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287B2F3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потерю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добавляется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причитающийся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прошедшее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внесения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8CF5ED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параграфе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абзаце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аннулированным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согласована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675723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69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74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привлеченные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2AB45E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FA48E6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26F89C3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взаимозависимыми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притоками</w:t>
      </w:r>
      <w:proofErr w:type="spellEnd"/>
    </w:p>
    <w:p w14:paraId="2A8E327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C33C1F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напрямую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3;</w:t>
      </w:r>
    </w:p>
    <w:p w14:paraId="58A4474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14EDA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9153F2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247B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10-дневный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5986BE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36FBB35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606DAEA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операционными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депозитами</w:t>
      </w:r>
      <w:proofErr w:type="spellEnd"/>
    </w:p>
    <w:p w14:paraId="6AD1302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632187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AE0AF0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77.1.</w:t>
      </w:r>
    </w:p>
    <w:p w14:paraId="18A82CE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160/2023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ЕС.</w:t>
      </w:r>
    </w:p>
    <w:p w14:paraId="06CFC07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попечительству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лишь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оказываются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решительное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77.1 и 77.2,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маловероятным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выводов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оказания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B1826B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корреспондентских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100%.</w:t>
      </w:r>
    </w:p>
    <w:p w14:paraId="18923A3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81.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идентификации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77.2,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сберегательных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CD0DE1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вознаграждение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базисных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преобладающей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сопоставимыми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характеристиками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3E537C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предназначенных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экономических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стимулов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сверх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B9AA1B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зачисляются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дебетуются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639E48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602131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A3752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минимум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2-х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косвенный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1D165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побочным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неоперационный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91DA8E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1E5FE1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7F516D1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</w:p>
    <w:p w14:paraId="71D379D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5.</w:t>
      </w:r>
    </w:p>
    <w:p w14:paraId="58F6805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охватываются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160/2023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схемой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эквивалентного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ЕС,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20%.</w:t>
      </w:r>
    </w:p>
    <w:p w14:paraId="03A5F22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расходов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047A1A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техниках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112/2018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71060B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3A5A8A3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3E7656D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85.3.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46.2.</w:t>
      </w:r>
    </w:p>
    <w:p w14:paraId="5CEE930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 и 50,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принадлежащими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квалифицировались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78A74D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85.1-85.4.</w:t>
      </w:r>
    </w:p>
    <w:p w14:paraId="25B130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иностранном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98C40C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адаптированных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49EE4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порождают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85 - 87.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EB1994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аналогичной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E53411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применялась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AF5F87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Компенсирующие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режимами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защиты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948A0A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облигациям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облигации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куплены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сторонами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покупателей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248EB5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ежедневному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дефициту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278F79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изъятию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5BF424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55EA99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B9D9D4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8A6FA3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8D9F8E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областная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D2DB4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правительство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D8450C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96.3.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1BD57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правомочными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ED8CA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DD90C7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7</w:t>
      </w:r>
    </w:p>
    <w:p w14:paraId="2AC0C6B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группы</w:t>
      </w:r>
      <w:proofErr w:type="spellEnd"/>
    </w:p>
    <w:p w14:paraId="40933F6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BF346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идиосинкразического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ED9FEA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287/2017;</w:t>
      </w:r>
    </w:p>
    <w:p w14:paraId="3C0C2A5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опускается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9C1DA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97.4.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зарегистрированы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CE71FA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9B5753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8</w:t>
      </w:r>
    </w:p>
    <w:p w14:paraId="315EF0B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продуктов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услуг</w:t>
      </w:r>
      <w:proofErr w:type="spellEnd"/>
    </w:p>
    <w:p w14:paraId="22454A4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вероятность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перечислены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5, 6, 7, 9, 10 и 11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предлагают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спонсируют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покупатели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сочли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73EC58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;</w:t>
      </w:r>
    </w:p>
    <w:p w14:paraId="1E2BC58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авансы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04663F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ипотечные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77638A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карты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D6909E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овердрафты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1AEDB9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планируемые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возобновлением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оптовых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C2AC11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114/2018,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F3E60A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98.8.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.</w:t>
      </w:r>
    </w:p>
    <w:p w14:paraId="670EC3A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идиосинкразического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особенно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возникнуть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вероятность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потенциальный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76,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выделены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содержанию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C74C77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7150C5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</w:t>
      </w:r>
    </w:p>
    <w:p w14:paraId="2D87B6A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</w:p>
    <w:p w14:paraId="4A771C5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20%.</w:t>
      </w:r>
    </w:p>
    <w:p w14:paraId="56869F6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позднее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VI.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добавить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возникнуть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внешней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кредитоспособности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применяет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регулярно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пересматривает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ухудшения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рассмотрения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</w:t>
      </w:r>
    </w:p>
    <w:p w14:paraId="059EFB6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возникнуть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неблагоприятного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F2074D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предыдущих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двух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B2F39B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абзаца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</w:p>
    <w:p w14:paraId="3DC5101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соглашением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C08406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вытекают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100, 101 и 102.</w:t>
      </w:r>
    </w:p>
    <w:p w14:paraId="739C037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негарантированными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одолжил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возврат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0%.</w:t>
      </w:r>
    </w:p>
    <w:p w14:paraId="433DC7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добавляет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100%:</w:t>
      </w:r>
    </w:p>
    <w:p w14:paraId="3423AF7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затребовано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80E54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CB784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квалифицироваться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70D313B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2, 3, 5, 6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100-105,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полученных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2, 3, 5, 6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11.</w:t>
      </w:r>
    </w:p>
    <w:p w14:paraId="6CA822F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соотносив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внутренне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952C6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791774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</w:t>
      </w:r>
    </w:p>
    <w:p w14:paraId="329A3BF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</w:p>
    <w:p w14:paraId="61FBEDD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понимается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рефинансировать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выплачен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сферы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оборотного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корпоративных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классифицироваться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8DF386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110-112.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какого-либо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6839A3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109.1.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ипотекой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1BFFEC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109.2.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и</w:t>
      </w:r>
    </w:p>
    <w:p w14:paraId="7D9F01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109.3.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аффилированных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81B7ED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помощью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заранее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графика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1DD6F0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F9E5A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111.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BEBACF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ритейл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B56E77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FA2CA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замены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ситуациях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B90B31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111.1 и 111.2,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933C69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выведена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2562FA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регулируемым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учреждениям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страховщиков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F6FC8C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113.1 и 108-112.</w:t>
      </w:r>
    </w:p>
    <w:p w14:paraId="4E7563D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883ECC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11</w:t>
      </w:r>
    </w:p>
    <w:p w14:paraId="481F2E3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долгами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обязательствами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</w:p>
    <w:p w14:paraId="6F3CB5F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распространяются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</w:p>
    <w:p w14:paraId="071EAC1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подразделах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2-10.</w:t>
      </w:r>
    </w:p>
    <w:p w14:paraId="3EBCA78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2-10,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поступлений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118.1,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излишка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понятие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МСП,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коммерческие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673B03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F3C4DC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47819C2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525110A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AF8101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698DF1C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</w:p>
    <w:p w14:paraId="0581850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у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невыполнения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невозмещение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запланированных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4D97C0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117.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116,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67785D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25546A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C84DA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FB591B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117.4.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дублируются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дивиденды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индексов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03A3990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117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6329E4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истекает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уменьшаются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точки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зрения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выплаты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термин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115;</w:t>
      </w:r>
    </w:p>
    <w:p w14:paraId="4EEFB40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CD987D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203E330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0D3781A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46.2;</w:t>
      </w:r>
    </w:p>
    <w:p w14:paraId="2575F12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минимальная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49 и 50,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ОКИ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8B07CC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118.2.5.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118.2.1-118.2.4.</w:t>
      </w:r>
    </w:p>
    <w:p w14:paraId="65B0509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104;</w:t>
      </w:r>
    </w:p>
    <w:p w14:paraId="38115AD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118.3.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получил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CD6F9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симметричную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5 %;</w:t>
      </w:r>
    </w:p>
    <w:p w14:paraId="2E1DF0E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истекает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приводят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118.2.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дисконт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DAF545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вещное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подобных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аналогичные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пролонгированы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свидетельствует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продолжать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выкупать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себя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уравновешенном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отсутствующую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прямо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short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selling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стратегии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хеджирования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сбалансированном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A443F1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7351DE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выпущенных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BC860B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118.9.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неопределенной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окончания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позволяют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отказаться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132F8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118.2.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защите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торгуемых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4B6FD8B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120.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30-дневного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114/2018,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60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CDA9E5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каких-либо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9F9DEC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1E44A5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странах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неконвертируемых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E04C1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77F1EF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2D2D12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Лимит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притоку</w:t>
      </w:r>
      <w:proofErr w:type="spellEnd"/>
    </w:p>
    <w:p w14:paraId="2CAF8C1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125, 126 и 127.</w:t>
      </w:r>
    </w:p>
    <w:p w14:paraId="659DC83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1169D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287/2017;</w:t>
      </w:r>
    </w:p>
    <w:p w14:paraId="0BA528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размещенных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подхода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п.19–22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5A03C0D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76,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ипотечными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происходящие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действовал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pass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through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).</w:t>
      </w:r>
    </w:p>
    <w:p w14:paraId="5D098DD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лизинговая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факторинговая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описанной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127,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соблюдении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128.</w:t>
      </w:r>
    </w:p>
    <w:p w14:paraId="5293182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специализированные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0120F4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автотранспортных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E09D0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потребителями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потребителями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202/2013.</w:t>
      </w:r>
    </w:p>
    <w:p w14:paraId="66F458E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126,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п.127,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704580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экономическая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характеризуется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CB2263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128.1.1.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календарь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синхронизирован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календарем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71CB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128.1.2.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D8F2E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п.126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90995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FCB159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125, 126 и 127,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индивидуальном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4.4.</w:t>
      </w:r>
    </w:p>
    <w:p w14:paraId="7D07710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18733F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AE072B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6F9D282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Приток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группы</w:t>
      </w:r>
      <w:proofErr w:type="spellEnd"/>
    </w:p>
    <w:p w14:paraId="7B1B167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118.7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преимуществ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938F3F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комбинированного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идиосинкратического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сценария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F55CB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287/2017;</w:t>
      </w:r>
    </w:p>
    <w:p w14:paraId="77F2EBF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симметричная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ставка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2;</w:t>
      </w:r>
    </w:p>
    <w:p w14:paraId="3D52420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7BB2F4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310930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III</w:t>
      </w:r>
    </w:p>
    <w:p w14:paraId="2DE43E4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 ЧИСТОГО СТАБИЛЬНОГО ФОНДИРОВАНИЯ</w:t>
      </w:r>
    </w:p>
    <w:p w14:paraId="28368E2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FF9376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26CF493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 ЧИСТОГО СТАБИЛЬНОГО ФОНДИРОВАНИЯ</w:t>
      </w:r>
    </w:p>
    <w:p w14:paraId="7938211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 ОБЩИЕ ПРАВИЛА РАСЧЕТА КОЭФФИЦИЕНТА ЧИСТОГО</w:t>
      </w:r>
    </w:p>
    <w:p w14:paraId="795B2B7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 ФИНАНСИРОВАНИЯ</w:t>
      </w:r>
    </w:p>
    <w:p w14:paraId="399FCE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2BBFCE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40E127B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18BC96F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выраженныйв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5F8E15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5543"/>
      </w:tblGrid>
      <w:tr w:rsidR="00CE7F90" w:rsidRPr="00CE7F90" w14:paraId="1C024F64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E8BADE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имеющееся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59358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CE7F90" w:rsidRPr="00CE7F90" w14:paraId="3A046D36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C808D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–––––––––––––––––––––––––––––––––––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C772B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=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коэффициент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чистого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стабильного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фондирования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(NSFR) (%)</w:t>
            </w:r>
          </w:p>
        </w:tc>
      </w:tr>
      <w:tr w:rsidR="00CE7F90" w:rsidRPr="00CE7F90" w14:paraId="051C7794" w14:textId="77777777" w:rsidTr="00CE7F9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DE7A1F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lastRenderedPageBreak/>
              <w:t>требуемое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стабильное</w:t>
            </w:r>
            <w:proofErr w:type="spellEnd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 xml:space="preserve"> </w:t>
            </w:r>
            <w:proofErr w:type="spellStart"/>
            <w:r w:rsidRPr="00CE7F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  <w:t>фондирование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FFD85F" w14:textId="77777777" w:rsidR="00CE7F90" w:rsidRPr="00CE7F90" w:rsidRDefault="00CE7F90" w:rsidP="00CE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30240BA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1E104C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поддерживают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08115B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упадет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разумно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упадет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стремиться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восстановить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133.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несоблюдения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каких-либо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32AFC0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контролируют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выраженным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18.</w:t>
      </w:r>
    </w:p>
    <w:p w14:paraId="331262C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соответствовало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деноминирован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18.</w:t>
      </w:r>
    </w:p>
    <w:p w14:paraId="6363E01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крайней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998482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215587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137.1.1.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переводить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юрисдикциями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входящими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группу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7F0761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137.1.2.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свопы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привлекать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пределах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EEF69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внезапных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неблагоприятных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курса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некоррелированные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1BDE3F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несоответствие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структуры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налагаемое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специфическое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устанавливаемое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оценок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проведенных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( 6)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202/2017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CE00F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AAED4D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7027475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2DE9BB2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ABD0D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1B7DA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141.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дважды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3994D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наивысший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D0FC1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0733A6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0F949E2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Деривативные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</w:p>
    <w:p w14:paraId="5384B12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III.</w:t>
      </w:r>
    </w:p>
    <w:p w14:paraId="248D4E0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 и 204,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рычага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274/2020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274/2020).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BF858F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означает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179A21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 и 204,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перечисленные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- (e)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114/2018,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предполагают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274/2020.</w:t>
      </w:r>
    </w:p>
    <w:p w14:paraId="124C4C9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1421DBA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отказе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убытков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1F33C2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B5772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04CC587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политике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НБМ.</w:t>
      </w:r>
    </w:p>
    <w:p w14:paraId="2E69D9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головной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пользуется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148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внимание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DC5B23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452962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3F56925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Взаимозачет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обеспеченному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кредитованию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</w:p>
    <w:p w14:paraId="77399E7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адаптированные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рынка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</w:p>
    <w:p w14:paraId="78826E7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компенсации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274/2020.</w:t>
      </w:r>
    </w:p>
    <w:p w14:paraId="3ED5911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22C1DE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1184457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пассивы</w:t>
      </w:r>
      <w:proofErr w:type="spellEnd"/>
    </w:p>
    <w:p w14:paraId="1A69CD8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7FFACE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сквозной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единицы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69A195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отдельные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четко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идентифицированы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одинаковую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0CA707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коррелирующие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20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148C9D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юридическим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нормативным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07308E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82965A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151.6.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72E7CE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пассивы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151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непосредственно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услугами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D7BAF0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выступающих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простых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посредников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регистрирующих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никаких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CF6369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деятельность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CPC 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следовательно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C9A498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02A85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2EFFE5B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Преференциальный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режим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внутри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группы</w:t>
      </w:r>
      <w:proofErr w:type="spellEnd"/>
    </w:p>
    <w:p w14:paraId="2A1CA9D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и III,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уполномочить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каждом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конкретном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используемым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совокупности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8ABBF4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FD6909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574C8D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материнского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C4ABD5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смысле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бухгалтерском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отчетности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287/2017;</w:t>
      </w:r>
    </w:p>
    <w:p w14:paraId="4A4ECAD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153.2.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полагать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источник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BC9375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превышающий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;;</w:t>
      </w:r>
    </w:p>
    <w:p w14:paraId="015D8B4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153.4.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созданы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CB602B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D93A02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5373732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ИМЕЮЩЕЕСЯ СТАБИЛЬНОЕ ФОНДИРОВАНИЕ</w:t>
      </w:r>
    </w:p>
    <w:p w14:paraId="0F154C3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F1920B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4209AED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</w:p>
    <w:p w14:paraId="0884CF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14D0A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3B9629C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объема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имеющегося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0ACE9D1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имеющегося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имеющегося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36CC88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Облигации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выпускаются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реализующиеся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приобретены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храниться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сторонами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кроме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F56C39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E99F65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238CE8F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долга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собственного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</w:p>
    <w:p w14:paraId="6FD2E2F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085ADCC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существующие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делается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погасит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колл-опционы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кратчайшие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усмотрению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погасят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0D4824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-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вкладчику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досрочное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снятие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происходящее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через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штраф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депозитов.</w:t>
      </w: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159.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наступают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395C7C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41E517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4A29490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2CE488B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65D73C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5A30567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0%</w:t>
      </w:r>
    </w:p>
    <w:p w14:paraId="0B71E8A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короткие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открытые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BF704D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160.1.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максимально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ранней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E81927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160.2.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миноритарные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BDC70F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миноритарным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один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160::</w:t>
      </w:r>
    </w:p>
    <w:p w14:paraId="22E775A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миноритарным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4983B3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фактический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миноритарным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F2385E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налоговым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миноритарным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интересамсоставляет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0D4536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0 %:</w:t>
      </w:r>
    </w:p>
    <w:p w14:paraId="3C9116C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уплате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покупкой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цикле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завершен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522864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388683C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B791F7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10B7D87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7F9143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162.3.3.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8975E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162.4.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2-5.</w:t>
      </w:r>
    </w:p>
    <w:p w14:paraId="197CAC0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величине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5EE0809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65B1872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вычтена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полномочия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69AD7C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пользу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D53F9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98D186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34EE550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50%</w:t>
      </w:r>
    </w:p>
    <w:p w14:paraId="3640C22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50 %:</w:t>
      </w:r>
    </w:p>
    <w:p w14:paraId="6D64955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46C17E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81DC26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B77FB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2ACA1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3AFE64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165.2.4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46 и 47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E2235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являющимися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15AB00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165.2.6.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личными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являющимися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165.1;</w:t>
      </w:r>
    </w:p>
    <w:p w14:paraId="3F1F069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44D460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4384F6C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EFB0D0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02F80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165.4.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3-5.</w:t>
      </w:r>
    </w:p>
    <w:p w14:paraId="197058E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0FB15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231265F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90%</w:t>
      </w:r>
    </w:p>
    <w:p w14:paraId="13DF748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166.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90%.</w:t>
      </w:r>
    </w:p>
    <w:p w14:paraId="7E861BC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9E5B9F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7D1B92E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95%</w:t>
      </w:r>
    </w:p>
    <w:p w14:paraId="25DF192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фиксированным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95%.</w:t>
      </w:r>
    </w:p>
    <w:p w14:paraId="7AD4F5C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6E518B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2DF1635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100%</w:t>
      </w:r>
    </w:p>
    <w:p w14:paraId="207DECE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100 %:</w:t>
      </w:r>
    </w:p>
    <w:p w14:paraId="19F65F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26-29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утвержденного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ПИК НБМ № 109/2018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альтернативы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63-67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109/2018;</w:t>
      </w:r>
    </w:p>
    <w:p w14:paraId="1BB55FE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87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встроенными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сократило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82C269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109/2018,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встроенными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сократило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0D0246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капитала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встроенными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сократило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эффективный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C113ED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168.5.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1-4.</w:t>
      </w:r>
    </w:p>
    <w:p w14:paraId="3CA4733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BE5700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7C07B553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ТРЕБУЕМОЕ СТАБИЛЬНОЕ ФОНДИРОВАНИЕ</w:t>
      </w:r>
    </w:p>
    <w:p w14:paraId="4EC429D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686CEB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0CB5FF22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Общие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</w:p>
    <w:p w14:paraId="3D095FF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BB4664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42C52EF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Расчет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объема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21A7FD9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различных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видов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взвешенных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4B882B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взятые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7B7FC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привлеченные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учтены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DE27C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владеет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бенефициарного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собственника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противном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4C9F21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распределяются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обычно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короче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привела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возникновению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2597BA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осталось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DE995F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перезакладывает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заимствован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без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возврата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заемного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52A74C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считаются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8CEC68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176.1.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(pool),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немедленно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(pool)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управляется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еще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профинансированные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портфеле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порядке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возрастания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классификации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отвечающих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FA38A9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176.2.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получил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залогового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имущества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распоряжаться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0081F9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нестандартных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мандатов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общерыночного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кризиса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макроэкономических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воспользоваться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2AFC25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198.6 и 202.1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</w:t>
      </w:r>
    </w:p>
    <w:p w14:paraId="1BBE39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198.4.1 и 198.4.2,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200.2 и 201.3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результате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BA6287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177.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177.1,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06AE7C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178,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внимательно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влиянием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низкого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позиции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принимает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04B481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избежание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двойного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признанным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164.2 и 204.2,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первоначальной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взноса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CPC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201.1 и 201.2.</w:t>
      </w:r>
    </w:p>
    <w:p w14:paraId="631A538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заказ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покупку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заказ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отражаются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404525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объем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доступного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потребуют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значительный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ущерб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нанесен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4D6CC9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F736432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78D7938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актива</w:t>
      </w:r>
      <w:proofErr w:type="spellEnd"/>
    </w:p>
    <w:p w14:paraId="01427E5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2.</w:t>
      </w:r>
    </w:p>
    <w:p w14:paraId="6EF5147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184.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Внебиржевые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базовыми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однако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анализирует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свободно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переуступать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продолжительность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перед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B1FCD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исходя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эмитент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реализуют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какой-либо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усмотрению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репутационные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способность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исполнить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опцион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E0F7E4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амортизации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36C73C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A3BC5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5E7E38C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Коэффициенты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</w:p>
    <w:p w14:paraId="2B54902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2ABD3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10AA0F1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0 %</w:t>
      </w:r>
    </w:p>
    <w:p w14:paraId="6712E2D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5A943B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высококачественные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3BB739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94E5CB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банковские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НБМ,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E48CCA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НБМ,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9DFDE2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возникающие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продажей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цикле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стандартном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периоде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характерном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типа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произведен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ожидается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осуществлению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C5AAD4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187.6.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классифицируются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взаимозависимые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обязательствам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I;</w:t>
      </w:r>
    </w:p>
    <w:p w14:paraId="0DB6433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187.7.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задолженности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полномочия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43DD80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187.7,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нетто-основе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73950A6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187.3,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степень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наличия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горизонте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следовательно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сопутствующего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7BC58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филиалов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головной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офис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находится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где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силу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национальным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законодательством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консолидации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F92527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B72501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2B771FF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5 %</w:t>
      </w:r>
    </w:p>
    <w:p w14:paraId="1411A3D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5 %:</w:t>
      </w:r>
    </w:p>
    <w:p w14:paraId="03C64A0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6913358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187.7.</w:t>
      </w:r>
    </w:p>
    <w:p w14:paraId="20FA4CD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неиспользованная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3D62E68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№111/2018,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6322CF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учитывают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191.2,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I.</w:t>
      </w:r>
    </w:p>
    <w:p w14:paraId="1DF3155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5 %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абсолютной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взаимозачетов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целей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валовую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депонированного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платежей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поступлений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изменениями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рыночной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1863A6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57BDADC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3</w:t>
      </w:r>
    </w:p>
    <w:p w14:paraId="5B88086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7,5 %</w:t>
      </w:r>
    </w:p>
    <w:p w14:paraId="0CB7597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194.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относящимся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7,5%.</w:t>
      </w:r>
    </w:p>
    <w:p w14:paraId="70F11D3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CFA12F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4</w:t>
      </w:r>
    </w:p>
    <w:p w14:paraId="50B6FEED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10 %</w:t>
      </w:r>
    </w:p>
    <w:p w14:paraId="175E988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10 %:</w:t>
      </w:r>
    </w:p>
    <w:p w14:paraId="230F13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195.1.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187.7 и 191.2;</w:t>
      </w:r>
    </w:p>
    <w:p w14:paraId="146C94E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195.2.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49A507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195.3.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№111/2018,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F0DD58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0C6406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</w:t>
      </w:r>
    </w:p>
    <w:p w14:paraId="30A1F335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15 %</w:t>
      </w:r>
    </w:p>
    <w:p w14:paraId="4FFC03C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категорию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229ED1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D79789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</w:t>
      </w:r>
    </w:p>
    <w:p w14:paraId="68147F5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20 %</w:t>
      </w:r>
    </w:p>
    <w:p w14:paraId="75660CE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70949F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6758F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7</w:t>
      </w:r>
    </w:p>
    <w:p w14:paraId="19CD5D44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50 %</w:t>
      </w:r>
    </w:p>
    <w:p w14:paraId="767FC9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F621E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могут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отнесены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238D6A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хранящиеся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небанковской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критериям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оперативных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298FFA2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с:</w:t>
      </w:r>
    </w:p>
    <w:p w14:paraId="137C34B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EFFDB3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198.3.2.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региональной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администрацией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самоуправления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Республики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Молдова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88A0C1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субъектами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публичного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сектора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42FFE91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многостороннего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развития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международными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организациями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6E9ECDE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нефинансовые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розничные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малые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предприятия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D4F1FD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198.3.6.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личные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инвестиционные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компании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депозитными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брокерами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подпадают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действие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198.2;</w:t>
      </w:r>
    </w:p>
    <w:p w14:paraId="3F8569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причитающиеся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с:</w:t>
      </w:r>
    </w:p>
    <w:p w14:paraId="7C1AF6E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НБМ;</w:t>
      </w:r>
    </w:p>
    <w:p w14:paraId="317FC39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ЕЦБ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центральным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государства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D7EEA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198.4.3.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9005D0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DFDC5D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шести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месяцев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199 - 204,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B9C6D7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198.7.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другой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187-197.</w:t>
      </w:r>
    </w:p>
    <w:p w14:paraId="0B20B22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05FF51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8</w:t>
      </w:r>
    </w:p>
    <w:p w14:paraId="7C4A222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55%</w:t>
      </w:r>
    </w:p>
    <w:p w14:paraId="430E531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ОКИ,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покрытия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55%,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независимо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795B44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531E05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9</w:t>
      </w:r>
    </w:p>
    <w:p w14:paraId="4578F7B9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65 %</w:t>
      </w:r>
    </w:p>
    <w:p w14:paraId="4CC446E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65 %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0E1E05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200.1.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ипотекой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жилую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недвижимость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жилищные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правомочным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поставщиком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защиты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упомянутым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36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112/2018,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146764B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200.2.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187-197,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111/2018.</w:t>
      </w:r>
    </w:p>
    <w:p w14:paraId="5D8E5E9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9CEEE7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lastRenderedPageBreak/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</w:t>
      </w:r>
    </w:p>
    <w:p w14:paraId="529E3200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85%</w:t>
      </w:r>
    </w:p>
    <w:p w14:paraId="19F118B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подлежат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85 %:</w:t>
      </w:r>
    </w:p>
    <w:p w14:paraId="514F1CB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только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применялся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630CB32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внебалансовый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элемент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денежные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взносов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гарантийный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CPC,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присвоен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был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применяемый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942AF5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займов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187 - 200,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весовой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риска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50 %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IV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111/2018;</w:t>
      </w:r>
    </w:p>
    <w:p w14:paraId="0E4EAA2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балансовые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продукты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торговому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AE3521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необремененные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просроченными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111/2018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7DD1431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приемлемы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II;</w:t>
      </w:r>
    </w:p>
    <w:p w14:paraId="600720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201.7.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физически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торгуемые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включая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золото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товарных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деривативов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C77687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BEF17A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Подчасть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11</w:t>
      </w:r>
    </w:p>
    <w:p w14:paraId="7E6C83D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ro-MD"/>
          <w14:ligatures w14:val="none"/>
        </w:rPr>
        <w:t xml:space="preserve"> 100 %</w:t>
      </w:r>
    </w:p>
    <w:p w14:paraId="240AC53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C3BCCD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обремененный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D2DCDA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187-201,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клиентам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остаточным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договорным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года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неблагоприятные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подверженности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статьи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вычтенные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собственных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средств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обращающиеся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фондовой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бирже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связанные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страхованием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ценные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бумаги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находящиеся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состоянии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невозврата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137B4C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коэффициент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требуемого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стабильного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фондирования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100 %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разницы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клиринговых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 .</w:t>
      </w:r>
    </w:p>
    <w:p w14:paraId="611EC46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204.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правила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74609CC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204.1.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вычтена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неттинга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квалифицируется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первого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I,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когда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законные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полномочия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операционную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возможность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повторно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96B221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204.2.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вариационная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пользу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вычитается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набора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отрицательного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сальдирования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справедливой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E085F6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415E25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РАЗДЕЛ IV</w:t>
      </w:r>
    </w:p>
    <w:p w14:paraId="20C575D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ПРОЦЕДУРА ВЫДАЧИ НАЦИОНАЛЬНЫМ БАНКОМ МОЛДОВЫ</w:t>
      </w:r>
    </w:p>
    <w:p w14:paraId="5246FFD1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ПРЕДВАРИТЕЛЬНЫХ РАЗРЕШЕНИЙ, ОТСТУПЛЕНИЙ,</w:t>
      </w:r>
    </w:p>
    <w:p w14:paraId="08D0DAAF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УТВЕРЖДЕНИЙ И АВТОРИЗАЦИЙ</w:t>
      </w:r>
    </w:p>
    <w:p w14:paraId="4F62125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0655D62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</w:t>
      </w:r>
    </w:p>
    <w:p w14:paraId="4BBC35A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ВЫДАЧА ПРЕДВАРИТЕЛЬНЫХ РАЗРЕШЕНИЙ</w:t>
      </w:r>
    </w:p>
    <w:p w14:paraId="0E63BC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76, 125, 126, 127 и 151.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прилагаются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33EECF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015B91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205 и 206,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подачи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недостающие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C6B714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пакет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207,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прекращении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административной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истечения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0E50E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пакета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отклоняет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уведомив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своем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требуется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время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обработки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быть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продлен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уведомлением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E6930D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210.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недостаточны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принятия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205,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4829B3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обязан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дополнительную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209,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приостанавливается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18A60C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качестве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основания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отклонения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заявления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рассматривается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следующее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04AFA88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212.1.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невыполнение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согласия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61E1350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212.2.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ошибочной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недостоверной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противоречащей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7BB7222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212.3.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непредставление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выполнение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получения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16451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право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установленные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предыдущих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выдачи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предварительного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A663D4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F4AB606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</w:t>
      </w:r>
    </w:p>
    <w:p w14:paraId="6035D21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ВЫДАЧА РАЗРЕШЕНИЙ, ОТСТУПЛЕНИЙ И</w:t>
      </w:r>
    </w:p>
    <w:p w14:paraId="0BCA2C0E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ВВЕДЕНИЕ БОЛЕЕ СТРОГИХ УСЛОВИЙ</w:t>
      </w:r>
    </w:p>
    <w:p w14:paraId="6608CB2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процесса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надзора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может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отступления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устанавливать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строгие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случаях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13, 31,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35.3,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51, 101, 148 и 189.</w:t>
      </w:r>
    </w:p>
    <w:p w14:paraId="7A67A97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215.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инициирует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указанных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214,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должен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письменной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проинформировать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факте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рабочих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начала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зависимости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обстоятельств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если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необходимо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запросить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подтверждающих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что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требованиям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5DCD01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216.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Запрашиваемая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информация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документы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представляются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румынском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языке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подписываются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уполномоченным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лицом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3289D8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217.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относящиеся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п.207-213,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82F6E4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A567EB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Глава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III</w:t>
      </w:r>
    </w:p>
    <w:p w14:paraId="7A904D9A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ВЫДАЧА РАЗРЕШЕНИЙ</w:t>
      </w:r>
    </w:p>
    <w:p w14:paraId="0CFE05B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218.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Разрешения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предоставляются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контексте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97, 131 и 153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требованию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так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инициативе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НБМ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дистанционных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и/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проверок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местах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82EA94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219.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процедуры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предусмотренной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I, и,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соответствующим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образом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120FA8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938294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A940B32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1</w:t>
      </w:r>
    </w:p>
    <w:p w14:paraId="0C7E34EA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60C0ADE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ADB6568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состава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2DCE2A5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93BF49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использует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формулы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изложенные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состава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подчастью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части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главы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раздела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II.</w:t>
      </w:r>
    </w:p>
    <w:p w14:paraId="6C24527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резерва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: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начиная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запас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87DD11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плюс</w:t>
      </w:r>
      <w:proofErr w:type="spellEnd"/>
    </w:p>
    <w:p w14:paraId="1DCA47A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2А;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плюс</w:t>
      </w:r>
      <w:proofErr w:type="spellEnd"/>
    </w:p>
    <w:p w14:paraId="742AA5C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(c)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2B;</w:t>
      </w:r>
    </w:p>
    <w:p w14:paraId="2326CFA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22F85BE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(d)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(a), (b) и (c);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</w:p>
    <w:p w14:paraId="2CEBB0C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(e)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рассчитанный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соответствии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пунктами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и 4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настоящего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68E86FD1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":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состоит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компонентов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определенных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ниже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8169C5D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стоимость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1-го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удерживаемых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67963C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 и</w:t>
      </w:r>
    </w:p>
    <w:p w14:paraId="09F62B94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(c)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после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применения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марж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корректировки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будут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удерживаться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момент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заключения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любой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финансирования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кредитования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или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обеспеченными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производными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финансовыми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инструментами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достигает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срока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погашения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течение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30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дней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с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даты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в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рамках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банк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и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контрагент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обмениваются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активами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меньшей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мере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одному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сегменту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сделки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3F2958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Расчет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"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избыточных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":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эта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C5EF777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(a)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плюс</w:t>
      </w:r>
      <w:proofErr w:type="spellEnd"/>
    </w:p>
    <w:p w14:paraId="72487C8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(b)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2A;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плюс</w:t>
      </w:r>
      <w:proofErr w:type="spellEnd"/>
    </w:p>
    <w:p w14:paraId="61DD266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(c)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скорректированной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активов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уровня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2B;</w:t>
      </w:r>
    </w:p>
    <w:p w14:paraId="7C16E01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минус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меньшая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из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4A06FD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(d)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суммы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(a), (b) и (c);</w:t>
      </w:r>
    </w:p>
    <w:p w14:paraId="69EF1A5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(e) 100/60,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(a);</w:t>
      </w:r>
    </w:p>
    <w:p w14:paraId="14D16A66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(f) 100/85,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умноженное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на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сумму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между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(a) и (b).</w:t>
      </w:r>
    </w:p>
    <w:p w14:paraId="40EB7DC8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5453A6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BDD2ABF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Приложение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№ 2</w:t>
      </w:r>
    </w:p>
    <w:p w14:paraId="1EBDD23B" w14:textId="77777777" w:rsidR="00CE7F90" w:rsidRPr="00CE7F90" w:rsidRDefault="00CE7F90" w:rsidP="00CE7F90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к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Регламенту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о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7336EA3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CC31B97" w14:textId="77777777" w:rsidR="00CE7F90" w:rsidRPr="00CE7F90" w:rsidRDefault="00CE7F90" w:rsidP="00CE7F90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Формула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расчета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чистых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040635EB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D4F25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NLO (Net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liquidity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outflow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чистые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</w:p>
    <w:p w14:paraId="605DA07F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TO (Total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outflows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</w:p>
    <w:p w14:paraId="02E306A0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TI (Total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inflows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всего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</w:p>
    <w:p w14:paraId="5A81DD79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FEI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Fully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exempted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inflows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исключенные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</w:p>
    <w:p w14:paraId="431A5163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IHC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Inflows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subject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to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higher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cap)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более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высокого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лимита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а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именно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90%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</w:p>
    <w:p w14:paraId="63B1190E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IC (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Inflows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subject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to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cap) =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которые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являются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предметом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75%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оттоков</w:t>
      </w:r>
      <w:proofErr w:type="spellEnd"/>
    </w:p>
    <w:p w14:paraId="1C1B22FA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Чистый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ликвидности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равен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общему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оттоку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полностью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освобожденных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снижения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90%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за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вычетом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сокращения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для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притоков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при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условии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ограничения</w:t>
      </w:r>
      <w:proofErr w:type="spellEnd"/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в 75%.</w:t>
      </w:r>
    </w:p>
    <w:p w14:paraId="58199215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NLO = TO – MIN(FEI, TO) – MIN(IHC, 0,9*MAX(TO – FEI, 0)) – MIN(IC, 0,75*MAX(TO – FEI – IHC/0,9, 0))</w:t>
      </w:r>
    </w:p>
    <w:p w14:paraId="6806117C" w14:textId="77777777" w:rsidR="00CE7F90" w:rsidRPr="00CE7F90" w:rsidRDefault="00CE7F90" w:rsidP="00CE7F90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CE7F90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1234856" w14:textId="77777777" w:rsidR="00B65ABB" w:rsidRDefault="00B65ABB"/>
    <w:sectPr w:rsidR="00B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7"/>
    <w:rsid w:val="009110A8"/>
    <w:rsid w:val="009A6767"/>
    <w:rsid w:val="00B65ABB"/>
    <w:rsid w:val="00C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60DD7-BA0E-4D88-B874-DB25D511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E7F90"/>
  </w:style>
  <w:style w:type="paragraph" w:customStyle="1" w:styleId="msonormal0">
    <w:name w:val="msonormal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CE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22846</Words>
  <Characters>132508</Characters>
  <Application>Microsoft Office Word</Application>
  <DocSecurity>0</DocSecurity>
  <Lines>1104</Lines>
  <Paragraphs>310</Paragraphs>
  <ScaleCrop>false</ScaleCrop>
  <Company/>
  <LinksUpToDate>false</LinksUpToDate>
  <CharactersWithSpaces>155044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2025-02-04T06:37:00Z</dcterms:created>
  <dcterms:modified xsi:type="dcterms:W3CDTF">2025-02-04T06:43:00Z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2025-02-04T06:43:57Z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d6ad23ba-1c08-4d15-bb13-e05dd0bc7835</vt:lpwstr>
  </property>
  <property fmtid="{D5CDD505-2E9C-101B-9397-08002B2CF9AE}" pid="8" name="MSIP_Label_38962dcf-d39f-4edc-a396-338a56ba9170_ContentBits">
    <vt:lpwstr>0</vt:lpwstr>
  </property>
</Properties>
</file>